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68" w:rsidRDefault="00620637">
      <w:pPr>
        <w:jc w:val="center"/>
      </w:pPr>
      <w:bookmarkStart w:id="0" w:name="_GoBack"/>
      <w:bookmarkEnd w:id="0"/>
      <w:r>
        <w:t xml:space="preserve">ПЛАН МЕРОПРИЯТИЙ </w:t>
      </w:r>
    </w:p>
    <w:p w:rsidR="00D81068" w:rsidRDefault="00620637">
      <w:pPr>
        <w:ind w:right="0"/>
      </w:pPr>
      <w:r>
        <w:t>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ТОО «</w:t>
      </w:r>
      <w:proofErr w:type="spellStart"/>
      <w:r>
        <w:t>Eco</w:t>
      </w:r>
      <w:proofErr w:type="spellEnd"/>
      <w:r>
        <w:t xml:space="preserve"> </w:t>
      </w:r>
      <w:proofErr w:type="spellStart"/>
      <w:r>
        <w:t>Almaty</w:t>
      </w:r>
      <w:proofErr w:type="spellEnd"/>
      <w:r>
        <w:t xml:space="preserve">» на 2026–2027 гг. </w:t>
      </w:r>
    </w:p>
    <w:tbl>
      <w:tblPr>
        <w:tblStyle w:val="TableGrid"/>
        <w:tblW w:w="12605" w:type="dxa"/>
        <w:tblInd w:w="5" w:type="dxa"/>
        <w:tblCellMar>
          <w:top w:w="54" w:type="dxa"/>
          <w:left w:w="106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47"/>
        <w:gridCol w:w="2623"/>
        <w:gridCol w:w="3586"/>
        <w:gridCol w:w="1932"/>
        <w:gridCol w:w="2081"/>
        <w:gridCol w:w="1836"/>
      </w:tblGrid>
      <w:tr w:rsidR="00D81068">
        <w:trPr>
          <w:trHeight w:val="749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№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п/п</w:t>
            </w: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Рекомендация </w:t>
            </w: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Мероприятие</w:t>
            </w: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Форма завершения мероприятия</w:t>
            </w: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Исполнители</w:t>
            </w: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Срок исполнения мероприятия</w:t>
            </w:r>
            <w:r>
              <w:rPr>
                <w:color w:val="000000"/>
                <w:sz w:val="21"/>
              </w:rPr>
              <w:t xml:space="preserve"> </w:t>
            </w:r>
          </w:p>
        </w:tc>
      </w:tr>
      <w:tr w:rsidR="00D81068">
        <w:trPr>
          <w:trHeight w:val="124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1.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Мониторинг устранения причин и условий, способствующих совершению коррупционных правонарушений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333"/>
            </w:pPr>
            <w:r>
              <w:rPr>
                <w:sz w:val="21"/>
              </w:rPr>
              <w:t>Осуществлять ежеквартальный мониторинг и оценку исполнения мероприятий Плана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Ежеквартальный отчет о мониторинге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proofErr w:type="spellStart"/>
            <w:r>
              <w:rPr>
                <w:sz w:val="21"/>
              </w:rPr>
              <w:t>Комплаенс</w:t>
            </w:r>
            <w:proofErr w:type="spellEnd"/>
            <w:r>
              <w:rPr>
                <w:sz w:val="21"/>
              </w:rPr>
              <w:t xml:space="preserve">-офицер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Ежеквартально, до 10 числа месяца, следующего за отчетным</w:t>
            </w:r>
            <w:r>
              <w:rPr>
                <w:sz w:val="21"/>
              </w:rPr>
              <w:t xml:space="preserve"> </w:t>
            </w:r>
          </w:p>
        </w:tc>
      </w:tr>
      <w:tr w:rsidR="00D81068">
        <w:trPr>
          <w:trHeight w:val="1979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2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spacing w:line="237" w:lineRule="auto"/>
              <w:ind w:right="0"/>
              <w:jc w:val="left"/>
            </w:pPr>
            <w:r>
              <w:rPr>
                <w:sz w:val="21"/>
              </w:rPr>
              <w:t xml:space="preserve">Внедрение практики регулярной (раз в два года) ротации руководителей и специалистов районных отделов Службы охраны окружающей среды. 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П</w:t>
            </w:r>
            <w:r>
              <w:rPr>
                <w:sz w:val="21"/>
              </w:rPr>
              <w:t xml:space="preserve">одготовить график регулярной </w:t>
            </w:r>
          </w:p>
          <w:p w:rsidR="00D81068" w:rsidRDefault="00620637">
            <w:pPr>
              <w:ind w:right="23"/>
              <w:jc w:val="left"/>
            </w:pPr>
            <w:r>
              <w:rPr>
                <w:sz w:val="21"/>
              </w:rPr>
              <w:t xml:space="preserve">ротации (раз в 2 года) руководителей и ключевых специалистов районных отделов Службы охраны окружающей среды.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Приказ об утверждении Порядка и графиков ротации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Кадровая служба,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Заместители Генерального директора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</w:pPr>
            <w:r>
              <w:rPr>
                <w:sz w:val="21"/>
              </w:rPr>
              <w:t xml:space="preserve">До 15 декабря 2026 года </w:t>
            </w:r>
          </w:p>
        </w:tc>
      </w:tr>
      <w:tr w:rsidR="00D81068">
        <w:trPr>
          <w:trHeight w:val="1734"/>
        </w:trPr>
        <w:tc>
          <w:tcPr>
            <w:tcW w:w="54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3. </w:t>
            </w:r>
          </w:p>
        </w:tc>
        <w:tc>
          <w:tcPr>
            <w:tcW w:w="262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Предотвращение конфликта интересов при взаимодействии с подрядчиками и госорганами </w:t>
            </w:r>
          </w:p>
        </w:tc>
        <w:tc>
          <w:tcPr>
            <w:tcW w:w="35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Обязать руководителей и специалистов Службы охраны окружающей среды, Отдела зеленых насаждений и Передвижной лаборатории подписывать обязатель</w:t>
            </w:r>
            <w:r>
              <w:rPr>
                <w:sz w:val="21"/>
              </w:rPr>
              <w:t xml:space="preserve">ство о декларировании конфликта интересов.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Форма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обязательства  </w:t>
            </w:r>
          </w:p>
        </w:tc>
        <w:tc>
          <w:tcPr>
            <w:tcW w:w="20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spacing w:after="1" w:line="237" w:lineRule="auto"/>
              <w:ind w:right="0"/>
              <w:jc w:val="left"/>
            </w:pPr>
            <w:r>
              <w:rPr>
                <w:sz w:val="21"/>
              </w:rPr>
              <w:t xml:space="preserve">Руководители профильных отделов, </w:t>
            </w:r>
          </w:p>
          <w:p w:rsidR="00D81068" w:rsidRDefault="00620637">
            <w:pPr>
              <w:ind w:right="0"/>
            </w:pPr>
            <w:r>
              <w:rPr>
                <w:sz w:val="21"/>
              </w:rPr>
              <w:t xml:space="preserve">Юридический отдел </w:t>
            </w:r>
          </w:p>
        </w:tc>
        <w:tc>
          <w:tcPr>
            <w:tcW w:w="18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Постоянно </w:t>
            </w:r>
          </w:p>
        </w:tc>
      </w:tr>
      <w:tr w:rsidR="00D81068">
        <w:trPr>
          <w:trHeight w:val="124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lastRenderedPageBreak/>
              <w:t xml:space="preserve">4.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spacing w:line="237" w:lineRule="auto"/>
              <w:ind w:right="0"/>
              <w:jc w:val="left"/>
            </w:pPr>
            <w:r>
              <w:rPr>
                <w:sz w:val="21"/>
              </w:rPr>
              <w:t xml:space="preserve">Вести постоянный контроль за прозрачностью проведения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государственных закупок 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spacing w:after="1" w:line="237" w:lineRule="auto"/>
              <w:ind w:right="21"/>
              <w:jc w:val="left"/>
            </w:pPr>
            <w:r>
              <w:rPr>
                <w:sz w:val="21"/>
              </w:rPr>
              <w:t xml:space="preserve">Внедрить обязательное согласование технических спецификаций и квалификационных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требований к закупкам с </w:t>
            </w:r>
            <w:proofErr w:type="spellStart"/>
            <w:r>
              <w:rPr>
                <w:sz w:val="21"/>
              </w:rPr>
              <w:t>Комплаенс</w:t>
            </w:r>
            <w:proofErr w:type="spellEnd"/>
            <w:r>
              <w:rPr>
                <w:sz w:val="21"/>
              </w:rPr>
              <w:t xml:space="preserve">-офицером.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Визы/Лист согласования к заявке на закупку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Ведущий специалист по </w:t>
            </w:r>
            <w:proofErr w:type="spellStart"/>
            <w:r>
              <w:rPr>
                <w:sz w:val="21"/>
              </w:rPr>
              <w:t>госзакупкам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Комплаенс</w:t>
            </w:r>
            <w:proofErr w:type="spellEnd"/>
            <w:r>
              <w:rPr>
                <w:sz w:val="21"/>
              </w:rPr>
              <w:t xml:space="preserve">-офицер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Постоянно </w:t>
            </w:r>
          </w:p>
        </w:tc>
      </w:tr>
      <w:tr w:rsidR="00D81068">
        <w:trPr>
          <w:trHeight w:val="503"/>
        </w:trPr>
        <w:tc>
          <w:tcPr>
            <w:tcW w:w="54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5. </w:t>
            </w:r>
          </w:p>
        </w:tc>
        <w:tc>
          <w:tcPr>
            <w:tcW w:w="262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Использовать информационные системы для </w:t>
            </w:r>
          </w:p>
        </w:tc>
        <w:tc>
          <w:tcPr>
            <w:tcW w:w="35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</w:pPr>
            <w:r>
              <w:rPr>
                <w:sz w:val="21"/>
              </w:rPr>
              <w:t xml:space="preserve">Внедрить обязательную проверку контрагентов и потенциальных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45"/>
              <w:jc w:val="left"/>
            </w:pPr>
            <w:r>
              <w:rPr>
                <w:sz w:val="21"/>
              </w:rPr>
              <w:t xml:space="preserve">Чек-лист проверки </w:t>
            </w:r>
          </w:p>
        </w:tc>
        <w:tc>
          <w:tcPr>
            <w:tcW w:w="20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Ведущий специалист по </w:t>
            </w:r>
          </w:p>
        </w:tc>
        <w:tc>
          <w:tcPr>
            <w:tcW w:w="18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Постоянно при проведении </w:t>
            </w:r>
          </w:p>
        </w:tc>
      </w:tr>
      <w:tr w:rsidR="00D81068">
        <w:trPr>
          <w:trHeight w:val="7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D81068">
            <w:pPr>
              <w:spacing w:after="160"/>
              <w:ind w:right="0"/>
              <w:jc w:val="lef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проверки благонадежности поставщиков 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поставщиков с использованием государственных и открытых информационных систем 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благонадежности контрагента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proofErr w:type="spellStart"/>
            <w:r>
              <w:rPr>
                <w:sz w:val="21"/>
              </w:rPr>
              <w:t>госзакупкам</w:t>
            </w:r>
            <w:proofErr w:type="spellEnd"/>
            <w:r>
              <w:rPr>
                <w:sz w:val="21"/>
              </w:rPr>
              <w:t xml:space="preserve">, </w:t>
            </w:r>
          </w:p>
          <w:p w:rsidR="00D81068" w:rsidRDefault="00620637">
            <w:pPr>
              <w:ind w:right="0"/>
              <w:jc w:val="left"/>
            </w:pPr>
            <w:proofErr w:type="spellStart"/>
            <w:r>
              <w:rPr>
                <w:sz w:val="21"/>
              </w:rPr>
              <w:t>Комплаенс</w:t>
            </w:r>
            <w:proofErr w:type="spellEnd"/>
            <w:r>
              <w:rPr>
                <w:sz w:val="21"/>
              </w:rPr>
              <w:t xml:space="preserve">-офицер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закупок </w:t>
            </w:r>
          </w:p>
        </w:tc>
      </w:tr>
      <w:tr w:rsidR="00D81068">
        <w:trPr>
          <w:trHeight w:val="1735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5.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Обеспечение прозрачности бюджетного планирования и расчета смет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Сформировать единые стандарты расчетных документов (калькуляций) с обязательной детальной расшифровкой графы «Объем», указанием единиц измерения и расчетным обоснованием цены за единицу.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Утвержденная </w:t>
            </w:r>
          </w:p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Методика / Шаблон калькуляции затрат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>Отдел финансов и</w:t>
            </w:r>
            <w:r>
              <w:rPr>
                <w:sz w:val="21"/>
              </w:rPr>
              <w:t xml:space="preserve"> бухгалтерского учета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</w:pPr>
            <w:r>
              <w:rPr>
                <w:sz w:val="21"/>
              </w:rPr>
              <w:t xml:space="preserve">До 15 октября 2026 года </w:t>
            </w:r>
          </w:p>
        </w:tc>
      </w:tr>
      <w:tr w:rsidR="00D81068">
        <w:trPr>
          <w:trHeight w:val="124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6.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Усилить финансовый контроль. 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производить оплату услуг строго на основании актов выполненных работ, содержащих количественные характеристики и подтверждающих фактически выполненный объем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Регламент приемки выполненных работ и подписания актов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  <w:jc w:val="left"/>
            </w:pPr>
            <w:r>
              <w:rPr>
                <w:sz w:val="21"/>
              </w:rPr>
              <w:t xml:space="preserve">Главный бухгалтер, Руководители профильных отделов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D81068" w:rsidRDefault="00620637">
            <w:pPr>
              <w:ind w:right="0"/>
            </w:pPr>
            <w:r>
              <w:rPr>
                <w:sz w:val="21"/>
              </w:rPr>
              <w:t xml:space="preserve">До 1 сентября 2026 года </w:t>
            </w:r>
          </w:p>
        </w:tc>
      </w:tr>
    </w:tbl>
    <w:p w:rsidR="00D81068" w:rsidRDefault="00620637">
      <w:pPr>
        <w:ind w:right="0"/>
      </w:pPr>
      <w:r>
        <w:rPr>
          <w:color w:val="000000"/>
          <w:sz w:val="21"/>
        </w:rPr>
        <w:t xml:space="preserve"> </w:t>
      </w:r>
    </w:p>
    <w:p w:rsidR="00D81068" w:rsidRDefault="00620637">
      <w:pPr>
        <w:ind w:right="0"/>
      </w:pPr>
      <w:r>
        <w:rPr>
          <w:color w:val="000000"/>
          <w:sz w:val="21"/>
        </w:rPr>
        <w:t xml:space="preserve"> </w:t>
      </w:r>
    </w:p>
    <w:sectPr w:rsidR="00D81068">
      <w:pgSz w:w="16838" w:h="11906" w:orient="landscape"/>
      <w:pgMar w:top="1406" w:right="2107" w:bottom="1546" w:left="21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68"/>
    <w:rsid w:val="00620637"/>
    <w:rsid w:val="00D8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5CF4D-EC55-405F-B1F0-EFBD9F41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right="1"/>
      <w:jc w:val="both"/>
    </w:pPr>
    <w:rPr>
      <w:rFonts w:ascii="Times New Roman" w:eastAsia="Times New Roman" w:hAnsi="Times New Roman" w:cs="Times New Roman"/>
      <w:color w:val="1F1F1F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План мероприятий по устранению коррупционных рисков (сайт)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План мероприятий по устранению коррупционных рисков (сайт)</dc:title>
  <dc:subject/>
  <dc:creator>user</dc:creator>
  <cp:keywords/>
  <cp:lastModifiedBy>user</cp:lastModifiedBy>
  <cp:revision>2</cp:revision>
  <dcterms:created xsi:type="dcterms:W3CDTF">2026-08-11T14:21:00Z</dcterms:created>
  <dcterms:modified xsi:type="dcterms:W3CDTF">2026-08-11T14:21:00Z</dcterms:modified>
</cp:coreProperties>
</file>